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D67D38">
      <w:pPr>
        <w:pStyle w:val="3"/>
        <w:shd w:val="clear" w:fill="FFFFFF" w:themeFill="background1"/>
        <w:ind w:firstLine="0" w:firstLineChars="0"/>
        <w:jc w:val="left"/>
        <w:rPr>
          <w:rFonts w:hint="default" w:ascii="宋体" w:hAnsi="宋体" w:eastAsia="宋体" w:cs="Courier New"/>
          <w:color w:val="auto"/>
          <w:sz w:val="24"/>
          <w:szCs w:val="24"/>
          <w:highlight w:val="none"/>
          <w:lang w:val="en-US" w:eastAsia="zh-CN"/>
        </w:rPr>
      </w:pPr>
      <w:r>
        <w:rPr>
          <w:rFonts w:hint="default" w:ascii="宋体" w:hAnsi="宋体" w:eastAsia="宋体" w:cs="Courier New"/>
          <w:color w:val="auto"/>
          <w:sz w:val="24"/>
          <w:szCs w:val="24"/>
          <w:highlight w:val="none"/>
          <w:lang w:val="en-US" w:eastAsia="zh-CN"/>
        </w:rPr>
        <w:t>附件：</w:t>
      </w:r>
    </w:p>
    <w:p w14:paraId="1E6E1924">
      <w:pPr>
        <w:pStyle w:val="3"/>
        <w:shd w:val="clear" w:fill="FFFFFF" w:themeFill="background1"/>
        <w:ind w:firstLine="320" w:firstLineChars="100"/>
        <w:jc w:val="center"/>
        <w:rPr>
          <w:rFonts w:hint="eastAsia" w:hAnsi="宋体" w:eastAsia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报价单</w:t>
      </w:r>
    </w:p>
    <w:p w14:paraId="48C347A0">
      <w:pPr>
        <w:pStyle w:val="3"/>
        <w:shd w:val="clear" w:fill="FFFFFF" w:themeFill="background1"/>
        <w:ind w:firstLine="240" w:firstLineChars="100"/>
        <w:rPr>
          <w:rFonts w:hint="eastAsia" w:hAnsi="宋体"/>
          <w:color w:val="auto"/>
          <w:sz w:val="24"/>
          <w:szCs w:val="24"/>
          <w:highlight w:val="none"/>
        </w:rPr>
      </w:pPr>
    </w:p>
    <w:p w14:paraId="7F78AD19">
      <w:pPr>
        <w:pStyle w:val="3"/>
        <w:shd w:val="clear" w:fill="FFFFFF" w:themeFill="background1"/>
        <w:ind w:firstLine="240" w:firstLineChars="100"/>
        <w:rPr>
          <w:rFonts w:hint="eastAsia" w:hAnsi="宋体"/>
          <w:color w:val="auto"/>
          <w:sz w:val="24"/>
          <w:szCs w:val="24"/>
          <w:highlight w:val="none"/>
        </w:rPr>
      </w:pPr>
    </w:p>
    <w:p w14:paraId="5A786B9A">
      <w:pPr>
        <w:pStyle w:val="3"/>
        <w:shd w:val="clear" w:fill="FFFFFF" w:themeFill="background1"/>
        <w:ind w:firstLine="240" w:firstLineChars="100"/>
        <w:rPr>
          <w:rFonts w:hint="default" w:hAnsi="宋体" w:eastAsia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hAnsi="宋体"/>
          <w:color w:val="auto"/>
          <w:sz w:val="24"/>
          <w:szCs w:val="24"/>
          <w:highlight w:val="none"/>
        </w:rPr>
        <w:t>项目</w:t>
      </w:r>
      <w:r>
        <w:rPr>
          <w:rFonts w:hAnsi="宋体"/>
          <w:color w:val="auto"/>
          <w:sz w:val="24"/>
          <w:szCs w:val="24"/>
          <w:highlight w:val="none"/>
        </w:rPr>
        <w:t>名称：</w:t>
      </w:r>
      <w:bookmarkStart w:id="0" w:name="_GoBack"/>
      <w:r>
        <w:rPr>
          <w:rFonts w:hint="eastAsia" w:hAnsi="宋体"/>
          <w:color w:val="auto"/>
          <w:sz w:val="24"/>
          <w:szCs w:val="24"/>
          <w:highlight w:val="none"/>
        </w:rPr>
        <w:t>国鼎冷库叉车维护保养服务</w:t>
      </w:r>
      <w:bookmarkEnd w:id="0"/>
    </w:p>
    <w:p w14:paraId="3391E17E">
      <w:pPr>
        <w:pStyle w:val="3"/>
        <w:shd w:val="clear" w:fill="FFFFFF" w:themeFill="background1"/>
        <w:ind w:firstLine="240" w:firstLineChars="100"/>
        <w:rPr>
          <w:rFonts w:hint="eastAsia" w:hAnsi="宋体"/>
          <w:color w:val="auto"/>
          <w:sz w:val="24"/>
          <w:szCs w:val="24"/>
          <w:highlight w:val="none"/>
          <w:lang w:eastAsia="zh-CN"/>
        </w:rPr>
      </w:pPr>
    </w:p>
    <w:tbl>
      <w:tblPr>
        <w:tblStyle w:val="4"/>
        <w:tblW w:w="8485" w:type="dxa"/>
        <w:tblInd w:w="3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310"/>
        <w:gridCol w:w="3075"/>
        <w:gridCol w:w="1388"/>
        <w:gridCol w:w="2249"/>
      </w:tblGrid>
      <w:tr w14:paraId="5F836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081" w:hRule="atLeast"/>
        </w:trPr>
        <w:tc>
          <w:tcPr>
            <w:tcW w:w="1310" w:type="dxa"/>
            <w:noWrap w:val="0"/>
            <w:vAlign w:val="center"/>
          </w:tcPr>
          <w:p w14:paraId="4889E9E3">
            <w:pPr>
              <w:shd w:val="clear" w:fill="FFFFFF" w:themeFill="background1"/>
              <w:spacing w:line="480" w:lineRule="exact"/>
              <w:jc w:val="center"/>
              <w:rPr>
                <w:rFonts w:hint="eastAsia" w:hAnsi="宋体" w:eastAsia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  <w:lang w:val="en-US" w:eastAsia="zh-CN"/>
              </w:rPr>
              <w:t>序号</w:t>
            </w:r>
          </w:p>
        </w:tc>
        <w:tc>
          <w:tcPr>
            <w:tcW w:w="3075" w:type="dxa"/>
            <w:noWrap w:val="0"/>
            <w:vAlign w:val="center"/>
          </w:tcPr>
          <w:p w14:paraId="2855030F">
            <w:pPr>
              <w:shd w:val="clear" w:fill="FFFFFF" w:themeFill="background1"/>
              <w:spacing w:line="480" w:lineRule="exact"/>
              <w:jc w:val="center"/>
              <w:rPr>
                <w:rFonts w:hint="default" w:hAnsi="宋体" w:eastAsia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  <w:lang w:val="en-US" w:eastAsia="zh-CN"/>
              </w:rPr>
              <w:t>报价金额（含税）（元）</w:t>
            </w:r>
          </w:p>
        </w:tc>
        <w:tc>
          <w:tcPr>
            <w:tcW w:w="1388" w:type="dxa"/>
            <w:noWrap w:val="0"/>
            <w:vAlign w:val="center"/>
          </w:tcPr>
          <w:p w14:paraId="17989135">
            <w:pPr>
              <w:shd w:val="clear" w:fill="FFFFFF" w:themeFill="background1"/>
              <w:spacing w:line="480" w:lineRule="exact"/>
              <w:jc w:val="center"/>
              <w:rPr>
                <w:rFonts w:hint="default" w:hAnsi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  <w:lang w:val="en-US" w:eastAsia="zh-CN"/>
              </w:rPr>
              <w:t>税率</w:t>
            </w:r>
          </w:p>
        </w:tc>
        <w:tc>
          <w:tcPr>
            <w:tcW w:w="2249" w:type="dxa"/>
            <w:noWrap w:val="0"/>
            <w:vAlign w:val="center"/>
          </w:tcPr>
          <w:p w14:paraId="671182FD">
            <w:pPr>
              <w:shd w:val="clear" w:fill="FFFFFF" w:themeFill="background1"/>
              <w:spacing w:line="480" w:lineRule="exact"/>
              <w:jc w:val="center"/>
              <w:rPr>
                <w:rFonts w:hint="eastAsia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</w:rPr>
              <w:t>备注</w:t>
            </w:r>
          </w:p>
        </w:tc>
      </w:tr>
      <w:tr w14:paraId="4BA46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042" w:hRule="atLeast"/>
        </w:trPr>
        <w:tc>
          <w:tcPr>
            <w:tcW w:w="1310" w:type="dxa"/>
            <w:noWrap w:val="0"/>
            <w:vAlign w:val="center"/>
          </w:tcPr>
          <w:p w14:paraId="6216CD74">
            <w:pPr>
              <w:shd w:val="clear" w:fill="FFFFFF" w:themeFill="background1"/>
              <w:spacing w:line="480" w:lineRule="exact"/>
              <w:jc w:val="center"/>
              <w:rPr>
                <w:rFonts w:hint="eastAsia" w:hAnsi="宋体" w:eastAsia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3075" w:type="dxa"/>
            <w:noWrap w:val="0"/>
            <w:vAlign w:val="center"/>
          </w:tcPr>
          <w:p w14:paraId="2277FD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80" w:lineRule="auto"/>
              <w:textAlignment w:val="auto"/>
              <w:rPr>
                <w:color w:val="auto"/>
                <w:highlight w:val="none"/>
              </w:rPr>
            </w:pPr>
            <w:r>
              <w:rPr>
                <w:rFonts w:hint="eastAsia" w:ascii="宋体" w:cs="宋体"/>
                <w:color w:val="auto"/>
                <w:highlight w:val="none"/>
                <w:lang w:bidi="ar"/>
              </w:rPr>
              <w:t>小写：</w:t>
            </w:r>
            <w:r>
              <w:rPr>
                <w:rFonts w:ascii="宋体" w:cs="宋体"/>
                <w:color w:val="auto"/>
                <w:highlight w:val="none"/>
                <w:u w:val="single"/>
                <w:lang w:bidi="ar"/>
              </w:rPr>
              <w:t xml:space="preserve">                  </w:t>
            </w:r>
          </w:p>
          <w:p w14:paraId="675D942E">
            <w:pPr>
              <w:shd w:val="clear" w:fill="FFFFFF" w:themeFill="background1"/>
              <w:spacing w:line="480" w:lineRule="exact"/>
              <w:jc w:val="left"/>
              <w:rPr>
                <w:rFonts w:hint="default" w:hAnsi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cs="宋体"/>
                <w:color w:val="auto"/>
                <w:highlight w:val="none"/>
                <w:lang w:bidi="ar"/>
              </w:rPr>
              <w:t>大写：</w:t>
            </w:r>
            <w:r>
              <w:rPr>
                <w:rFonts w:ascii="宋体" w:cs="宋体"/>
                <w:color w:val="auto"/>
                <w:highlight w:val="none"/>
                <w:u w:val="single"/>
                <w:lang w:bidi="ar"/>
              </w:rPr>
              <w:t xml:space="preserve">                  </w:t>
            </w:r>
          </w:p>
        </w:tc>
        <w:tc>
          <w:tcPr>
            <w:tcW w:w="1388" w:type="dxa"/>
            <w:noWrap w:val="0"/>
            <w:vAlign w:val="center"/>
          </w:tcPr>
          <w:p w14:paraId="630B068F">
            <w:pPr>
              <w:shd w:val="clear" w:fill="FFFFFF" w:themeFill="background1"/>
              <w:spacing w:line="480" w:lineRule="exact"/>
              <w:jc w:val="center"/>
              <w:rPr>
                <w:rFonts w:hint="eastAsia" w:hAnsi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ascii="宋体" w:cs="宋体"/>
                <w:color w:val="auto"/>
                <w:highlight w:val="none"/>
                <w:u w:val="single"/>
                <w:lang w:bidi="ar"/>
              </w:rPr>
              <w:t xml:space="preserve">    </w:t>
            </w:r>
            <w:r>
              <w:rPr>
                <w:rFonts w:hint="eastAsia" w:ascii="宋体" w:cs="宋体"/>
                <w:color w:val="auto"/>
                <w:highlight w:val="none"/>
                <w:u w:val="none"/>
                <w:lang w:val="en-US" w:eastAsia="zh-CN" w:bidi="ar"/>
              </w:rPr>
              <w:t>%</w:t>
            </w:r>
          </w:p>
          <w:p w14:paraId="074CDF66"/>
        </w:tc>
        <w:tc>
          <w:tcPr>
            <w:tcW w:w="2249" w:type="dxa"/>
            <w:noWrap w:val="0"/>
            <w:vAlign w:val="center"/>
          </w:tcPr>
          <w:p w14:paraId="37181B6D">
            <w:pPr>
              <w:shd w:val="clear" w:fill="FFFFFF" w:themeFill="background1"/>
              <w:spacing w:line="480" w:lineRule="exact"/>
              <w:jc w:val="left"/>
              <w:rPr>
                <w:rFonts w:hint="default" w:hAnsi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</w:tr>
    </w:tbl>
    <w:p w14:paraId="3A674848">
      <w:pPr>
        <w:pStyle w:val="3"/>
        <w:shd w:val="clear" w:fill="FFFFFF" w:themeFill="background1"/>
        <w:ind w:firstLine="210" w:firstLineChars="100"/>
        <w:rPr>
          <w:rFonts w:hAnsi="宋体"/>
          <w:color w:val="auto"/>
          <w:highlight w:val="none"/>
        </w:rPr>
      </w:pPr>
      <w:r>
        <w:rPr>
          <w:rFonts w:hAnsi="宋体"/>
          <w:color w:val="auto"/>
          <w:highlight w:val="none"/>
        </w:rPr>
        <w:t xml:space="preserve">                                   </w:t>
      </w:r>
    </w:p>
    <w:p w14:paraId="30A944D0">
      <w:pPr>
        <w:numPr>
          <w:ilvl w:val="-1"/>
          <w:numId w:val="0"/>
        </w:numPr>
        <w:ind w:firstLine="480" w:firstLineChars="200"/>
        <w:rPr>
          <w:rFonts w:hint="eastAsia" w:ascii="仿宋_GB2312" w:hAnsi="Times New Roman" w:eastAsia="仿宋_GB2312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Times New Roman" w:eastAsia="仿宋_GB2312" w:cs="Times New Roman"/>
          <w:b w:val="0"/>
          <w:bCs w:val="0"/>
          <w:sz w:val="24"/>
          <w:szCs w:val="24"/>
          <w:highlight w:val="none"/>
        </w:rPr>
        <w:t>注</w:t>
      </w:r>
      <w:r>
        <w:rPr>
          <w:rFonts w:hint="default" w:ascii="仿宋_GB2312" w:hAnsi="Times New Roman" w:eastAsia="仿宋_GB2312" w:cs="Times New Roman"/>
          <w:b w:val="0"/>
          <w:bCs w:val="0"/>
          <w:sz w:val="24"/>
          <w:szCs w:val="24"/>
          <w:highlight w:val="none"/>
          <w:lang w:eastAsia="zh-CN"/>
        </w:rPr>
        <w:t>：</w:t>
      </w:r>
      <w:r>
        <w:rPr>
          <w:rFonts w:hint="eastAsia" w:ascii="仿宋_GB2312" w:hAnsi="Times New Roman" w:eastAsia="仿宋_GB2312" w:cs="Times New Roman"/>
          <w:b w:val="0"/>
          <w:bCs w:val="0"/>
          <w:sz w:val="24"/>
          <w:szCs w:val="24"/>
          <w:highlight w:val="none"/>
          <w:lang w:val="en-US" w:eastAsia="zh-CN"/>
        </w:rPr>
        <w:t>1.</w:t>
      </w:r>
      <w:r>
        <w:rPr>
          <w:rFonts w:hint="eastAsia" w:ascii="仿宋_GB2312" w:hAnsi="Times New Roman" w:eastAsia="仿宋_GB2312" w:cs="Times New Roman"/>
          <w:sz w:val="24"/>
          <w:szCs w:val="24"/>
          <w:highlight w:val="none"/>
          <w:lang w:val="en-US" w:eastAsia="zh-CN"/>
        </w:rPr>
        <w:t>投标报价以元为单位，保留两位小数。</w:t>
      </w:r>
    </w:p>
    <w:p w14:paraId="15599E8D">
      <w:pPr>
        <w:numPr>
          <w:ilvl w:val="0"/>
          <w:numId w:val="1"/>
        </w:numPr>
        <w:ind w:firstLine="480" w:firstLineChars="200"/>
        <w:rPr>
          <w:rFonts w:hint="eastAsia" w:ascii="仿宋_GB2312" w:hAnsi="Times New Roman" w:eastAsia="仿宋_GB2312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24"/>
          <w:szCs w:val="24"/>
          <w:highlight w:val="none"/>
          <w:lang w:val="en-US" w:eastAsia="zh-CN"/>
        </w:rPr>
        <w:t>如果以上内容无法满足</w:t>
      </w:r>
      <w:r>
        <w:rPr>
          <w:rFonts w:hint="eastAsia" w:ascii="仿宋_GB2312" w:hAnsi="Times New Roman" w:eastAsia="仿宋_GB2312"/>
          <w:sz w:val="24"/>
          <w:szCs w:val="24"/>
          <w:highlight w:val="none"/>
        </w:rPr>
        <w:t>报价</w:t>
      </w:r>
      <w:r>
        <w:rPr>
          <w:rFonts w:hint="eastAsia" w:ascii="仿宋_GB2312" w:hAnsi="Times New Roman" w:eastAsia="仿宋_GB2312" w:cs="Times New Roman"/>
          <w:sz w:val="24"/>
          <w:szCs w:val="24"/>
          <w:highlight w:val="none"/>
          <w:lang w:val="en-US" w:eastAsia="zh-CN"/>
        </w:rPr>
        <w:t>单位对报价的描述需求，报价单位可自行添加包含价格因素在内的一切内容。</w:t>
      </w:r>
    </w:p>
    <w:p w14:paraId="74B27BE5">
      <w:pPr>
        <w:pStyle w:val="3"/>
        <w:shd w:val="clear" w:fill="FFFFFF" w:themeFill="background1"/>
        <w:spacing w:line="360" w:lineRule="atLeast"/>
        <w:rPr>
          <w:rFonts w:hint="eastAsia" w:hAnsi="宋体"/>
          <w:color w:val="auto"/>
          <w:highlight w:val="none"/>
        </w:rPr>
      </w:pPr>
    </w:p>
    <w:p w14:paraId="62E380E2">
      <w:pPr>
        <w:pStyle w:val="3"/>
        <w:shd w:val="clear" w:fill="FFFFFF" w:themeFill="background1"/>
        <w:spacing w:line="360" w:lineRule="atLeast"/>
        <w:rPr>
          <w:rFonts w:hint="eastAsia" w:hAnsi="宋体"/>
          <w:color w:val="auto"/>
          <w:highlight w:val="none"/>
        </w:rPr>
      </w:pPr>
    </w:p>
    <w:p w14:paraId="29607DF9">
      <w:pPr>
        <w:spacing w:line="360" w:lineRule="auto"/>
        <w:ind w:firstLine="3150" w:firstLineChars="1500"/>
        <w:rPr>
          <w:rFonts w:hint="eastAsia" w:ascii="宋体" w:hAnsi="宋体"/>
          <w:color w:val="auto"/>
          <w:sz w:val="21"/>
          <w:szCs w:val="21"/>
          <w:highlight w:val="none"/>
        </w:rPr>
      </w:pPr>
      <w:r>
        <w:rPr>
          <w:rFonts w:hint="eastAsia" w:ascii="宋体" w:hAnsi="宋体"/>
          <w:color w:val="auto"/>
          <w:sz w:val="21"/>
          <w:szCs w:val="21"/>
          <w:highlight w:val="none"/>
        </w:rPr>
        <w:t>投标单位（</w:t>
      </w:r>
      <w:r>
        <w:rPr>
          <w:rFonts w:hint="eastAsia" w:ascii="宋体" w:hAnsi="宋体"/>
          <w:color w:val="auto"/>
          <w:sz w:val="21"/>
          <w:szCs w:val="21"/>
          <w:highlight w:val="none"/>
          <w:lang w:eastAsia="zh-CN"/>
        </w:rPr>
        <w:t>盖章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）：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           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         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</w:t>
      </w:r>
    </w:p>
    <w:p w14:paraId="01FDAE3F">
      <w:pPr>
        <w:spacing w:line="360" w:lineRule="auto"/>
        <w:ind w:firstLine="3150" w:firstLineChars="1500"/>
        <w:rPr>
          <w:rFonts w:hint="eastAsia"/>
          <w:color w:val="auto"/>
          <w:highlight w:val="none"/>
        </w:rPr>
      </w:pPr>
      <w:r>
        <w:rPr>
          <w:rFonts w:hint="eastAsia" w:ascii="宋体" w:hAnsi="宋体"/>
          <w:color w:val="auto"/>
          <w:sz w:val="21"/>
          <w:szCs w:val="21"/>
          <w:highlight w:val="none"/>
        </w:rPr>
        <w:t>法定代表人或代理人（</w:t>
      </w:r>
      <w:r>
        <w:rPr>
          <w:rFonts w:hint="eastAsia" w:ascii="宋体" w:hAnsi="宋体"/>
          <w:color w:val="auto"/>
          <w:sz w:val="21"/>
          <w:szCs w:val="21"/>
          <w:highlight w:val="none"/>
          <w:lang w:eastAsia="zh-CN"/>
        </w:rPr>
        <w:t>签名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）：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 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     </w:t>
      </w:r>
    </w:p>
    <w:p w14:paraId="66F7A662">
      <w:pPr>
        <w:spacing w:line="360" w:lineRule="auto"/>
        <w:ind w:firstLine="3150" w:firstLineChars="1500"/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</w:pPr>
      <w:r>
        <w:rPr>
          <w:rFonts w:hint="eastAsia" w:ascii="宋体" w:hAnsi="宋体"/>
          <w:color w:val="auto"/>
          <w:sz w:val="21"/>
          <w:szCs w:val="21"/>
          <w:highlight w:val="none"/>
          <w:u w:val="none"/>
          <w:lang w:val="en-US" w:eastAsia="zh-CN"/>
        </w:rPr>
        <w:t>联系人及电话：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                                 </w:t>
      </w:r>
    </w:p>
    <w:p w14:paraId="05AF0E50">
      <w:pPr>
        <w:spacing w:line="360" w:lineRule="auto"/>
        <w:ind w:firstLine="3150" w:firstLineChars="1500"/>
        <w:rPr>
          <w:rFonts w:hint="default" w:ascii="宋体" w:hAnsi="宋体"/>
          <w:color w:val="auto"/>
          <w:sz w:val="21"/>
          <w:szCs w:val="21"/>
          <w:highlight w:val="none"/>
          <w:u w:val="single"/>
          <w:lang w:val="en-US" w:eastAsia="zh-CN"/>
        </w:rPr>
      </w:pPr>
      <w:r>
        <w:rPr>
          <w:rFonts w:hint="eastAsia" w:ascii="宋体" w:hAnsi="宋体"/>
          <w:color w:val="auto"/>
          <w:sz w:val="21"/>
          <w:szCs w:val="21"/>
          <w:highlight w:val="none"/>
          <w:u w:val="none"/>
          <w:lang w:val="en-US" w:eastAsia="zh-CN"/>
        </w:rPr>
        <w:t>联系邮箱：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                                     </w:t>
      </w:r>
    </w:p>
    <w:p w14:paraId="7A048D5F">
      <w:pPr>
        <w:pStyle w:val="2"/>
        <w:ind w:left="0" w:leftChars="0" w:firstLine="0" w:firstLineChars="0"/>
        <w:jc w:val="right"/>
        <w:rPr>
          <w:rFonts w:hint="default"/>
          <w:lang w:val="en-US" w:eastAsia="zh-CN"/>
        </w:rPr>
      </w:pP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   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年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 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月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日</w:t>
      </w:r>
    </w:p>
    <w:p w14:paraId="50245B0F">
      <w:pPr>
        <w:widowControl/>
        <w:snapToGrid w:val="0"/>
        <w:spacing w:line="520" w:lineRule="exact"/>
        <w:jc w:val="both"/>
        <w:rPr>
          <w:rFonts w:hint="eastAsia" w:ascii="仿宋_GB2312" w:hAnsi="Times New Roman" w:eastAsia="仿宋_GB2312"/>
          <w:sz w:val="32"/>
          <w:szCs w:val="32"/>
          <w:highlight w:val="none"/>
          <w:lang w:val="en-US" w:eastAsia="zh-CN"/>
        </w:rPr>
      </w:pPr>
    </w:p>
    <w:p w14:paraId="165FA3C4">
      <w:pPr>
        <w:widowControl/>
        <w:snapToGrid w:val="0"/>
        <w:spacing w:line="520" w:lineRule="exact"/>
        <w:ind w:firstLine="0" w:firstLineChars="0"/>
        <w:jc w:val="both"/>
        <w:rPr>
          <w:rFonts w:hint="default" w:ascii="仿宋_GB2312" w:hAnsi="Times New Roman" w:eastAsia="仿宋_GB2312"/>
          <w:sz w:val="32"/>
          <w:szCs w:val="32"/>
          <w:highlight w:val="none"/>
          <w:lang w:val="en-US" w:eastAsia="zh-CN"/>
        </w:rPr>
      </w:pPr>
    </w:p>
    <w:p w14:paraId="10241FF9"/>
    <w:sectPr>
      <w:pgSz w:w="11906" w:h="16838"/>
      <w:pgMar w:top="1440" w:right="1800" w:bottom="1440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ED96A3"/>
    <w:multiLevelType w:val="singleLevel"/>
    <w:tmpl w:val="ABED96A3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