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1276"/>
        <w:gridCol w:w="1088"/>
        <w:gridCol w:w="187"/>
        <w:gridCol w:w="1313"/>
        <w:gridCol w:w="6"/>
        <w:gridCol w:w="270"/>
        <w:gridCol w:w="17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佛山市三水盈港货运码头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有限公司招聘人员报名表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DengXian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B3A5F5A"/>
    <w:rsid w:val="11613C91"/>
    <w:rsid w:val="1E4709CD"/>
    <w:rsid w:val="2D2D13B3"/>
    <w:rsid w:val="466C28C4"/>
    <w:rsid w:val="6EA07B99"/>
    <w:rsid w:val="6F97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5">
    <w:name w:val="页眉 Char"/>
    <w:link w:val="2"/>
    <w:qFormat/>
    <w:uiPriority w:val="99"/>
    <w:rPr>
      <w:sz w:val="18"/>
      <w:szCs w:val="18"/>
    </w:rPr>
  </w:style>
  <w:style w:type="character" w:customStyle="1" w:styleId="6">
    <w:name w:val="页眉 Char1"/>
    <w:basedOn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0</TotalTime>
  <ScaleCrop>false</ScaleCrop>
  <LinksUpToDate>false</LinksUpToDate>
  <CharactersWithSpaces>408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段红梅</cp:lastModifiedBy>
  <dcterms:modified xsi:type="dcterms:W3CDTF">2019-11-13T06:10:43Z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